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17"/>
        <w:gridCol w:w="2064"/>
        <w:gridCol w:w="1984"/>
        <w:gridCol w:w="3261"/>
      </w:tblGrid>
      <w:tr w:rsidR="00450266" w:rsidTr="00450266">
        <w:tc>
          <w:tcPr>
            <w:tcW w:w="1617" w:type="dxa"/>
          </w:tcPr>
          <w:p w:rsidR="00450266" w:rsidRDefault="00450266" w:rsidP="006637F9">
            <w:pPr>
              <w:tabs>
                <w:tab w:val="left" w:pos="2550"/>
              </w:tabs>
            </w:pPr>
            <w:hyperlink r:id="rId6" w:anchor="a82" w:history="1">
              <w:r w:rsidRPr="00450266">
                <w:rPr>
                  <w:rStyle w:val="Hipervnculo"/>
                </w:rPr>
                <w:t>82 1 y 2LH</w:t>
              </w:r>
            </w:hyperlink>
          </w:p>
        </w:tc>
        <w:tc>
          <w:tcPr>
            <w:tcW w:w="2064" w:type="dxa"/>
          </w:tcPr>
          <w:p w:rsidR="00450266" w:rsidRDefault="00450266" w:rsidP="006637F9">
            <w:pPr>
              <w:tabs>
                <w:tab w:val="left" w:pos="2550"/>
              </w:tabs>
            </w:pPr>
            <w:hyperlink r:id="rId7" w:anchor="a82" w:history="1">
              <w:r w:rsidRPr="006637F9">
                <w:rPr>
                  <w:rStyle w:val="Hipervnculo"/>
                </w:rPr>
                <w:t>82.5</w:t>
              </w:r>
            </w:hyperlink>
          </w:p>
        </w:tc>
        <w:tc>
          <w:tcPr>
            <w:tcW w:w="1984" w:type="dxa"/>
          </w:tcPr>
          <w:p w:rsidR="00450266" w:rsidRDefault="00450266" w:rsidP="006637F9">
            <w:pPr>
              <w:tabs>
                <w:tab w:val="left" w:pos="2550"/>
              </w:tabs>
            </w:pPr>
            <w:hyperlink r:id="rId8" w:anchor="a210" w:history="1">
              <w:r w:rsidRPr="001524F1">
                <w:rPr>
                  <w:rStyle w:val="Hipervnculo"/>
                </w:rPr>
                <w:t>210LH</w:t>
              </w:r>
            </w:hyperlink>
          </w:p>
        </w:tc>
        <w:tc>
          <w:tcPr>
            <w:tcW w:w="3261" w:type="dxa"/>
          </w:tcPr>
          <w:p w:rsidR="00450266" w:rsidRDefault="00450266" w:rsidP="006637F9">
            <w:pPr>
              <w:tabs>
                <w:tab w:val="left" w:pos="2550"/>
              </w:tabs>
            </w:pPr>
            <w:hyperlink r:id="rId9" w:anchor="a177" w:history="1">
              <w:r w:rsidRPr="001524F1">
                <w:rPr>
                  <w:rStyle w:val="Hipervnculo"/>
                </w:rPr>
                <w:t>177RH</w:t>
              </w:r>
            </w:hyperlink>
          </w:p>
        </w:tc>
      </w:tr>
      <w:tr w:rsidR="00450266" w:rsidTr="00450266">
        <w:trPr>
          <w:trHeight w:val="712"/>
        </w:trPr>
        <w:tc>
          <w:tcPr>
            <w:tcW w:w="1617" w:type="dxa"/>
          </w:tcPr>
          <w:p w:rsidR="00450266" w:rsidRDefault="00450266" w:rsidP="006637F9">
            <w:pPr>
              <w:tabs>
                <w:tab w:val="left" w:pos="2550"/>
              </w:tabs>
            </w:pPr>
          </w:p>
        </w:tc>
        <w:tc>
          <w:tcPr>
            <w:tcW w:w="2064" w:type="dxa"/>
          </w:tcPr>
          <w:p w:rsidR="00450266" w:rsidRDefault="00450266" w:rsidP="006637F9">
            <w:pPr>
              <w:tabs>
                <w:tab w:val="left" w:pos="2550"/>
              </w:tabs>
            </w:pPr>
            <w:r>
              <w:t>Titular registral cualquier derecho</w:t>
            </w:r>
          </w:p>
        </w:tc>
        <w:tc>
          <w:tcPr>
            <w:tcW w:w="1984" w:type="dxa"/>
          </w:tcPr>
          <w:p w:rsidR="00450266" w:rsidRDefault="00450266" w:rsidP="006637F9">
            <w:pPr>
              <w:tabs>
                <w:tab w:val="left" w:pos="2550"/>
              </w:tabs>
            </w:pPr>
            <w:r w:rsidRPr="001524F1">
              <w:t>cualquier interesado</w:t>
            </w:r>
          </w:p>
        </w:tc>
        <w:tc>
          <w:tcPr>
            <w:tcW w:w="3261" w:type="dxa"/>
          </w:tcPr>
          <w:p w:rsidR="00450266" w:rsidRDefault="00450266" w:rsidP="006637F9">
            <w:pPr>
              <w:tabs>
                <w:tab w:val="left" w:pos="2550"/>
              </w:tabs>
            </w:pPr>
            <w:r>
              <w:t>No dice-&gt;regla gen</w:t>
            </w:r>
          </w:p>
        </w:tc>
      </w:tr>
      <w:tr w:rsidR="00450266" w:rsidTr="00450266">
        <w:trPr>
          <w:trHeight w:val="3104"/>
        </w:trPr>
        <w:tc>
          <w:tcPr>
            <w:tcW w:w="1617" w:type="dxa"/>
          </w:tcPr>
          <w:p w:rsidR="00450266" w:rsidRDefault="00450266" w:rsidP="006637F9">
            <w:pPr>
              <w:tabs>
                <w:tab w:val="left" w:pos="2550"/>
              </w:tabs>
            </w:pPr>
            <w:r w:rsidRPr="001524F1">
              <w:t>Las inscripciones o anotaciones preventivas hechas en virtud de escritura pública</w:t>
            </w:r>
          </w:p>
        </w:tc>
        <w:tc>
          <w:tcPr>
            <w:tcW w:w="2064" w:type="dxa"/>
          </w:tcPr>
          <w:p w:rsidR="00450266" w:rsidRDefault="00450266" w:rsidP="006637F9">
            <w:pPr>
              <w:tabs>
                <w:tab w:val="left" w:pos="2550"/>
              </w:tabs>
            </w:pPr>
            <w:r w:rsidRPr="006637F9">
              <w:t xml:space="preserve">condiciones resolutorias en garantía precio aplazado y de hipotecas en garantía de cualquier obligación, </w:t>
            </w:r>
            <w:r>
              <w:t>-&gt;</w:t>
            </w:r>
            <w:r w:rsidRPr="006637F9">
              <w:t xml:space="preserve"> no plazo concreto de duración</w:t>
            </w:r>
          </w:p>
        </w:tc>
        <w:tc>
          <w:tcPr>
            <w:tcW w:w="1984" w:type="dxa"/>
          </w:tcPr>
          <w:p w:rsidR="00450266" w:rsidRDefault="00450266" w:rsidP="001524F1">
            <w:pPr>
              <w:tabs>
                <w:tab w:val="left" w:pos="2550"/>
              </w:tabs>
            </w:pPr>
            <w:r w:rsidRPr="001524F1">
              <w:t>hipotecas, condiciones resolutorias</w:t>
            </w:r>
            <w:r>
              <w:t xml:space="preserve"> y cu</w:t>
            </w:r>
            <w:r w:rsidRPr="001524F1">
              <w:t>alesquiera otras formas de garantía con efectos reales</w:t>
            </w:r>
            <w:r>
              <w:t xml:space="preserve"> </w:t>
            </w:r>
            <w:r w:rsidRPr="001524F1">
              <w:t xml:space="preserve">cuando no conste en el Registro la fecha en que debió producirse el pago de la obligación </w:t>
            </w:r>
          </w:p>
        </w:tc>
        <w:tc>
          <w:tcPr>
            <w:tcW w:w="3261" w:type="dxa"/>
          </w:tcPr>
          <w:p w:rsidR="00450266" w:rsidRDefault="00450266" w:rsidP="006637F9">
            <w:pPr>
              <w:tabs>
                <w:tab w:val="left" w:pos="2550"/>
              </w:tabs>
            </w:pPr>
            <w:r w:rsidRPr="001524F1">
              <w:t>Los asientos relativos a derechos que tuviesen un plazo de vigencia para su ejercicio convenido por las partes</w:t>
            </w:r>
          </w:p>
        </w:tc>
      </w:tr>
      <w:tr w:rsidR="00450266" w:rsidTr="00450266">
        <w:trPr>
          <w:trHeight w:val="5103"/>
        </w:trPr>
        <w:tc>
          <w:tcPr>
            <w:tcW w:w="1617" w:type="dxa"/>
          </w:tcPr>
          <w:p w:rsidR="00450266" w:rsidRDefault="00450266" w:rsidP="00450266">
            <w:pPr>
              <w:tabs>
                <w:tab w:val="left" w:pos="2550"/>
              </w:tabs>
            </w:pPr>
            <w:r>
              <w:t>*</w:t>
            </w:r>
            <w:r w:rsidRPr="001524F1">
              <w:t xml:space="preserve">sentencia no pendiente </w:t>
            </w:r>
            <w:r>
              <w:t xml:space="preserve">de </w:t>
            </w:r>
            <w:r w:rsidRPr="001524F1">
              <w:t xml:space="preserve">por otra </w:t>
            </w:r>
            <w:r>
              <w:t>*</w:t>
            </w:r>
            <w:r w:rsidRPr="001524F1">
              <w:t xml:space="preserve">escritura o documento auténtico, en el cual preste consentimiento persona a cuyo favor </w:t>
            </w:r>
            <w:r>
              <w:t>esté</w:t>
            </w:r>
            <w:r w:rsidRPr="001524F1">
              <w:t xml:space="preserve"> o sus causahabientes o</w:t>
            </w:r>
            <w:r>
              <w:t xml:space="preserve"> r</w:t>
            </w:r>
            <w:r w:rsidRPr="001524F1">
              <w:t>epresentantes legítimos</w:t>
            </w:r>
          </w:p>
          <w:p w:rsidR="00450266" w:rsidRDefault="00450266" w:rsidP="00450266">
            <w:pPr>
              <w:tabs>
                <w:tab w:val="left" w:pos="2550"/>
              </w:tabs>
            </w:pPr>
            <w:r>
              <w:t>*declaración de la ley</w:t>
            </w:r>
          </w:p>
          <w:p w:rsidR="00450266" w:rsidRDefault="00450266" w:rsidP="00450266">
            <w:pPr>
              <w:tabs>
                <w:tab w:val="left" w:pos="2550"/>
              </w:tabs>
            </w:pPr>
            <w:r>
              <w:t>*resulta del propio título</w:t>
            </w:r>
          </w:p>
        </w:tc>
        <w:tc>
          <w:tcPr>
            <w:tcW w:w="2064" w:type="dxa"/>
          </w:tcPr>
          <w:p w:rsidR="00450266" w:rsidRDefault="00450266" w:rsidP="006637F9">
            <w:pPr>
              <w:tabs>
                <w:tab w:val="left" w:pos="2550"/>
              </w:tabs>
            </w:pPr>
            <w:r>
              <w:t>Transcurrido el plazo de prescripción o el establecido, desde el día en que debió ser satisfecha según registro</w:t>
            </w:r>
          </w:p>
        </w:tc>
        <w:tc>
          <w:tcPr>
            <w:tcW w:w="1984" w:type="dxa"/>
          </w:tcPr>
          <w:p w:rsidR="00450266" w:rsidRDefault="00450266" w:rsidP="001524F1">
            <w:pPr>
              <w:tabs>
                <w:tab w:val="left" w:pos="2550"/>
              </w:tabs>
            </w:pPr>
            <w:r w:rsidRPr="001524F1">
              <w:t>transcurrido</w:t>
            </w:r>
            <w:r>
              <w:t>s</w:t>
            </w:r>
            <w:r w:rsidRPr="001524F1">
              <w:t xml:space="preserve"> </w:t>
            </w:r>
            <w:r>
              <w:t>20</w:t>
            </w:r>
            <w:r w:rsidRPr="001524F1">
              <w:t xml:space="preserve"> años desde la fecha del último asiento en que conste la reclamación de la obligación o</w:t>
            </w:r>
            <w:r>
              <w:t xml:space="preserve"> 40</w:t>
            </w:r>
            <w:r w:rsidRPr="001524F1">
              <w:t xml:space="preserve"> años desde el último asiento relativo a la titularidad de la garantía</w:t>
            </w:r>
          </w:p>
        </w:tc>
        <w:tc>
          <w:tcPr>
            <w:tcW w:w="3261" w:type="dxa"/>
          </w:tcPr>
          <w:p w:rsidR="00450266" w:rsidRDefault="00450266" w:rsidP="006637F9">
            <w:pPr>
              <w:tabs>
                <w:tab w:val="left" w:pos="2550"/>
              </w:tabs>
            </w:pPr>
            <w:r w:rsidRPr="001524F1">
              <w:t>se cancelarán por caducidad transcurridos cinco años desde su vencimiento, salvo caso de prórroga legal</w:t>
            </w:r>
          </w:p>
        </w:tc>
      </w:tr>
      <w:tr w:rsidR="00450266" w:rsidTr="00450266">
        <w:tc>
          <w:tcPr>
            <w:tcW w:w="1617" w:type="dxa"/>
          </w:tcPr>
          <w:p w:rsidR="00450266" w:rsidRDefault="00450266" w:rsidP="006637F9">
            <w:pPr>
              <w:tabs>
                <w:tab w:val="left" w:pos="2550"/>
              </w:tabs>
            </w:pPr>
          </w:p>
        </w:tc>
        <w:tc>
          <w:tcPr>
            <w:tcW w:w="2064" w:type="dxa"/>
          </w:tcPr>
          <w:p w:rsidR="00450266" w:rsidRDefault="00450266" w:rsidP="006637F9">
            <w:pPr>
              <w:tabs>
                <w:tab w:val="left" w:pos="2550"/>
              </w:tabs>
            </w:pPr>
            <w:r>
              <w:t xml:space="preserve">Si en un año no consta en el registro que han sido </w:t>
            </w:r>
            <w:r w:rsidRPr="006637F9">
              <w:t>renovadas, interrumpida la prescripción o ejecutada debidamente la hipoteca</w:t>
            </w:r>
          </w:p>
        </w:tc>
        <w:tc>
          <w:tcPr>
            <w:tcW w:w="1984" w:type="dxa"/>
          </w:tcPr>
          <w:p w:rsidR="00450266" w:rsidRDefault="00450266" w:rsidP="006637F9">
            <w:pPr>
              <w:tabs>
                <w:tab w:val="left" w:pos="2550"/>
              </w:tabs>
            </w:pPr>
          </w:p>
        </w:tc>
        <w:tc>
          <w:tcPr>
            <w:tcW w:w="3261" w:type="dxa"/>
          </w:tcPr>
          <w:p w:rsidR="00450266" w:rsidRDefault="00450266" w:rsidP="001524F1">
            <w:pPr>
              <w:tabs>
                <w:tab w:val="left" w:pos="2550"/>
              </w:tabs>
            </w:pPr>
            <w:r>
              <w:t>si no consta</w:t>
            </w:r>
            <w:r w:rsidRPr="001524F1">
              <w:t xml:space="preserve"> asiento que indique haberse ejercitado modificado el título o formulado reclamación judicial </w:t>
            </w:r>
          </w:p>
        </w:tc>
      </w:tr>
    </w:tbl>
    <w:p w:rsidR="006637F9" w:rsidRDefault="006637F9" w:rsidP="006637F9">
      <w:pPr>
        <w:tabs>
          <w:tab w:val="left" w:pos="2550"/>
        </w:tabs>
      </w:pPr>
      <w:r>
        <w:tab/>
      </w:r>
    </w:p>
    <w:p w:rsidR="00450266" w:rsidRDefault="00252CB6" w:rsidP="006637F9">
      <w:pPr>
        <w:tabs>
          <w:tab w:val="left" w:pos="2550"/>
        </w:tabs>
      </w:pPr>
      <w:r>
        <w:rPr>
          <w:noProof/>
          <w:lang w:eastAsia="es-ES"/>
        </w:rPr>
        <w:drawing>
          <wp:inline distT="0" distB="0" distL="0" distR="0" wp14:anchorId="14C8ADA8" wp14:editId="71BAB48F">
            <wp:extent cx="828675" cy="828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266" w:rsidRDefault="00450266" w:rsidP="006637F9">
      <w:pPr>
        <w:tabs>
          <w:tab w:val="left" w:pos="2550"/>
        </w:tabs>
      </w:pPr>
      <w:r>
        <w:t xml:space="preserve">Cuadro realizado por Iván Castejón </w:t>
      </w:r>
    </w:p>
    <w:sectPr w:rsidR="0045026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F9" w:rsidRDefault="006637F9" w:rsidP="006637F9">
      <w:pPr>
        <w:spacing w:after="0" w:line="240" w:lineRule="auto"/>
      </w:pPr>
      <w:r>
        <w:separator/>
      </w:r>
    </w:p>
  </w:endnote>
  <w:endnote w:type="continuationSeparator" w:id="0">
    <w:p w:rsidR="006637F9" w:rsidRDefault="006637F9" w:rsidP="0066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F9" w:rsidRDefault="006637F9" w:rsidP="006637F9">
      <w:pPr>
        <w:spacing w:after="0" w:line="240" w:lineRule="auto"/>
      </w:pPr>
      <w:r>
        <w:separator/>
      </w:r>
    </w:p>
  </w:footnote>
  <w:footnote w:type="continuationSeparator" w:id="0">
    <w:p w:rsidR="006637F9" w:rsidRDefault="006637F9" w:rsidP="0066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F9" w:rsidRDefault="00450266" w:rsidP="00450266">
    <w:pPr>
      <w:pStyle w:val="Encabezado"/>
      <w:tabs>
        <w:tab w:val="clear" w:pos="4252"/>
        <w:tab w:val="clear" w:pos="8504"/>
        <w:tab w:val="left" w:pos="1920"/>
      </w:tabs>
    </w:pPr>
    <w:r>
      <w:tab/>
      <w:t>CANCELACIÓN CARGAS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F9"/>
    <w:rsid w:val="001524F1"/>
    <w:rsid w:val="00252CB6"/>
    <w:rsid w:val="00450266"/>
    <w:rsid w:val="0066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6A140"/>
  <w15:chartTrackingRefBased/>
  <w15:docId w15:val="{7D4C30E4-0AB0-42FB-9605-1122E9E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7F9"/>
  </w:style>
  <w:style w:type="paragraph" w:styleId="Piedepgina">
    <w:name w:val="footer"/>
    <w:basedOn w:val="Normal"/>
    <w:link w:val="PiedepginaCar"/>
    <w:uiPriority w:val="99"/>
    <w:unhideWhenUsed/>
    <w:rsid w:val="0066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7F9"/>
  </w:style>
  <w:style w:type="table" w:styleId="Tablaconcuadrcula">
    <w:name w:val="Table Grid"/>
    <w:basedOn w:val="Tablanormal"/>
    <w:uiPriority w:val="39"/>
    <w:rsid w:val="0066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3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1946-24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e.es/buscar/act.php?id=BOE-A-1946-24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uscar/act.php?id=BOE-A-1946-245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boe.es/buscar/act.php?id=BOE-A-1947-38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2021-06-17T16:24:00Z</dcterms:created>
  <dcterms:modified xsi:type="dcterms:W3CDTF">2021-06-17T17:22:00Z</dcterms:modified>
</cp:coreProperties>
</file>